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2F76" w:rsidRDefault="007E2F76" w:rsidP="007E2F76">
      <w:pPr>
        <w:ind w:left="1416" w:firstLine="708"/>
        <w:jc w:val="both"/>
        <w:rPr>
          <w:rFonts w:ascii="Cambria" w:hAnsi="Cambria"/>
          <w:sz w:val="24"/>
          <w:szCs w:val="24"/>
        </w:rPr>
      </w:pPr>
      <w:proofErr w:type="gramStart"/>
      <w:r>
        <w:rPr>
          <w:rFonts w:ascii="Cambria" w:hAnsi="Cambria"/>
          <w:sz w:val="24"/>
          <w:szCs w:val="24"/>
        </w:rPr>
        <w:t>...........</w:t>
      </w:r>
      <w:proofErr w:type="gramEnd"/>
      <w:r>
        <w:rPr>
          <w:rFonts w:ascii="Cambria" w:hAnsi="Cambria"/>
          <w:sz w:val="24"/>
          <w:szCs w:val="24"/>
        </w:rPr>
        <w:t xml:space="preserve"> CUMHURİYET BAŞSAVCILIĞI’NA</w:t>
      </w:r>
    </w:p>
    <w:p w:rsidR="007E2F76" w:rsidRDefault="007E2F76" w:rsidP="007E2F76">
      <w:pPr>
        <w:jc w:val="both"/>
        <w:rPr>
          <w:rFonts w:ascii="Cambria" w:hAnsi="Cambria"/>
          <w:sz w:val="24"/>
          <w:szCs w:val="24"/>
        </w:rPr>
      </w:pPr>
    </w:p>
    <w:p w:rsidR="007E2F76" w:rsidRDefault="006635CB" w:rsidP="007E2F76">
      <w:pPr>
        <w:jc w:val="both"/>
        <w:rPr>
          <w:rFonts w:ascii="Cambria" w:hAnsi="Cambria"/>
          <w:sz w:val="24"/>
          <w:szCs w:val="24"/>
        </w:rPr>
      </w:pPr>
      <w:r>
        <w:rPr>
          <w:rFonts w:ascii="Cambria" w:hAnsi="Cambria"/>
          <w:sz w:val="24"/>
          <w:szCs w:val="24"/>
        </w:rPr>
        <w:t>ŞİKAYETÇİ</w:t>
      </w:r>
      <w:r w:rsidR="007E2F76">
        <w:rPr>
          <w:rFonts w:ascii="Cambria" w:hAnsi="Cambria"/>
          <w:sz w:val="24"/>
          <w:szCs w:val="24"/>
        </w:rPr>
        <w:tab/>
      </w:r>
      <w:r w:rsidR="007E2F76">
        <w:rPr>
          <w:rFonts w:ascii="Cambria" w:hAnsi="Cambria"/>
          <w:sz w:val="24"/>
          <w:szCs w:val="24"/>
        </w:rPr>
        <w:tab/>
        <w:t xml:space="preserve">: </w:t>
      </w:r>
      <w:proofErr w:type="gramStart"/>
      <w:r w:rsidR="007E2F76">
        <w:rPr>
          <w:rFonts w:ascii="Cambria" w:hAnsi="Cambria"/>
          <w:sz w:val="24"/>
          <w:szCs w:val="24"/>
        </w:rPr>
        <w:t>............</w:t>
      </w:r>
      <w:proofErr w:type="gramEnd"/>
    </w:p>
    <w:p w:rsidR="007E2F76" w:rsidRDefault="007E2F76" w:rsidP="007E2F76">
      <w:pPr>
        <w:jc w:val="both"/>
        <w:rPr>
          <w:rFonts w:ascii="Cambria" w:hAnsi="Cambria"/>
          <w:sz w:val="24"/>
          <w:szCs w:val="24"/>
        </w:rPr>
      </w:pPr>
      <w:r>
        <w:rPr>
          <w:rFonts w:ascii="Cambria" w:hAnsi="Cambria"/>
          <w:sz w:val="24"/>
          <w:szCs w:val="24"/>
        </w:rPr>
        <w:t>ŞÜPHELİ</w:t>
      </w:r>
      <w:r>
        <w:rPr>
          <w:rFonts w:ascii="Cambria" w:hAnsi="Cambria"/>
          <w:sz w:val="24"/>
          <w:szCs w:val="24"/>
        </w:rPr>
        <w:tab/>
      </w:r>
      <w:r>
        <w:rPr>
          <w:rFonts w:ascii="Cambria" w:hAnsi="Cambria"/>
          <w:sz w:val="24"/>
          <w:szCs w:val="24"/>
        </w:rPr>
        <w:tab/>
        <w:t>: MEHMET ÖZHASEKİ</w:t>
      </w:r>
    </w:p>
    <w:p w:rsidR="007E2F76" w:rsidRDefault="007E2F76" w:rsidP="007E2F76">
      <w:pPr>
        <w:ind w:left="2124" w:hanging="2124"/>
        <w:jc w:val="both"/>
        <w:rPr>
          <w:rFonts w:ascii="Cambria" w:hAnsi="Cambria"/>
          <w:sz w:val="24"/>
          <w:szCs w:val="24"/>
        </w:rPr>
      </w:pPr>
      <w:r>
        <w:rPr>
          <w:rFonts w:ascii="Cambria" w:hAnsi="Cambria"/>
          <w:sz w:val="24"/>
          <w:szCs w:val="24"/>
        </w:rPr>
        <w:t>SUÇ</w:t>
      </w:r>
      <w:r>
        <w:rPr>
          <w:rFonts w:ascii="Cambria" w:hAnsi="Cambria"/>
          <w:sz w:val="24"/>
          <w:szCs w:val="24"/>
        </w:rPr>
        <w:tab/>
        <w:t xml:space="preserve">:  Halkı Kin ve Düşmanlığa </w:t>
      </w:r>
      <w:proofErr w:type="gramStart"/>
      <w:r>
        <w:rPr>
          <w:rFonts w:ascii="Cambria" w:hAnsi="Cambria"/>
          <w:sz w:val="24"/>
          <w:szCs w:val="24"/>
        </w:rPr>
        <w:t>Alenen  Tahrik</w:t>
      </w:r>
      <w:proofErr w:type="gramEnd"/>
      <w:r>
        <w:rPr>
          <w:rFonts w:ascii="Cambria" w:hAnsi="Cambria"/>
          <w:sz w:val="24"/>
          <w:szCs w:val="24"/>
        </w:rPr>
        <w:t xml:space="preserve"> veya Aşağıla</w:t>
      </w:r>
      <w:r>
        <w:rPr>
          <w:rFonts w:ascii="Cambria" w:hAnsi="Cambria"/>
          <w:sz w:val="24"/>
          <w:szCs w:val="24"/>
        </w:rPr>
        <w:tab/>
        <w:t xml:space="preserve">( TCK m. 216/1,2), Nefret ve Ayrımcılık (TCK md.122)  Siyasi Hakların Kullanılmasının Engellenmesi (TCK </w:t>
      </w:r>
      <w:proofErr w:type="spellStart"/>
      <w:r>
        <w:rPr>
          <w:rFonts w:ascii="Cambria" w:hAnsi="Cambria"/>
          <w:sz w:val="24"/>
          <w:szCs w:val="24"/>
        </w:rPr>
        <w:t>md.</w:t>
      </w:r>
      <w:proofErr w:type="spellEnd"/>
      <w:r>
        <w:rPr>
          <w:rFonts w:ascii="Cambria" w:hAnsi="Cambria"/>
          <w:sz w:val="24"/>
          <w:szCs w:val="24"/>
        </w:rPr>
        <w:t xml:space="preserve"> 114), Hakaret (TCK </w:t>
      </w:r>
      <w:proofErr w:type="spellStart"/>
      <w:r>
        <w:rPr>
          <w:rFonts w:ascii="Cambria" w:hAnsi="Cambria"/>
          <w:sz w:val="24"/>
          <w:szCs w:val="24"/>
        </w:rPr>
        <w:t>md.</w:t>
      </w:r>
      <w:proofErr w:type="spellEnd"/>
      <w:r>
        <w:rPr>
          <w:rFonts w:ascii="Cambria" w:hAnsi="Cambria"/>
          <w:sz w:val="24"/>
          <w:szCs w:val="24"/>
        </w:rPr>
        <w:t xml:space="preserve"> 125), </w:t>
      </w:r>
      <w:r>
        <w:rPr>
          <w:rFonts w:ascii="Cambria" w:hAnsi="Cambria"/>
          <w:sz w:val="24"/>
          <w:szCs w:val="24"/>
        </w:rPr>
        <w:tab/>
      </w:r>
      <w:r w:rsidR="00AD3436">
        <w:rPr>
          <w:rFonts w:ascii="Cambria" w:hAnsi="Cambria"/>
          <w:sz w:val="24"/>
          <w:szCs w:val="24"/>
        </w:rPr>
        <w:t>Tehdit (TCK m. 106)</w:t>
      </w:r>
      <w:r>
        <w:rPr>
          <w:rFonts w:ascii="Cambria" w:hAnsi="Cambria"/>
          <w:sz w:val="24"/>
          <w:szCs w:val="24"/>
        </w:rPr>
        <w:tab/>
      </w:r>
    </w:p>
    <w:p w:rsidR="007E2F76" w:rsidRDefault="007E2F76" w:rsidP="007E2F76">
      <w:pPr>
        <w:jc w:val="both"/>
        <w:rPr>
          <w:rFonts w:ascii="Cambria" w:hAnsi="Cambria"/>
          <w:sz w:val="24"/>
          <w:szCs w:val="24"/>
        </w:rPr>
      </w:pPr>
      <w:r>
        <w:rPr>
          <w:rFonts w:ascii="Cambria" w:hAnsi="Cambria"/>
          <w:sz w:val="24"/>
          <w:szCs w:val="24"/>
        </w:rPr>
        <w:t>SUÇ TARİHİ</w:t>
      </w:r>
      <w:r>
        <w:rPr>
          <w:rFonts w:ascii="Cambria" w:hAnsi="Cambria"/>
          <w:sz w:val="24"/>
          <w:szCs w:val="24"/>
        </w:rPr>
        <w:tab/>
      </w:r>
      <w:r>
        <w:rPr>
          <w:rFonts w:ascii="Cambria" w:hAnsi="Cambria"/>
          <w:sz w:val="24"/>
          <w:szCs w:val="24"/>
        </w:rPr>
        <w:tab/>
        <w:t>: 20 Şubat 2021</w:t>
      </w:r>
    </w:p>
    <w:p w:rsidR="007E2F76" w:rsidRDefault="007E2F76" w:rsidP="007E2F76">
      <w:pPr>
        <w:jc w:val="both"/>
        <w:rPr>
          <w:rFonts w:ascii="Cambria" w:hAnsi="Cambria"/>
          <w:sz w:val="24"/>
          <w:szCs w:val="24"/>
        </w:rPr>
      </w:pPr>
      <w:r>
        <w:rPr>
          <w:rFonts w:ascii="Cambria" w:hAnsi="Cambria"/>
          <w:sz w:val="24"/>
          <w:szCs w:val="24"/>
        </w:rPr>
        <w:t>AÇIKLAMALAR</w:t>
      </w:r>
      <w:r>
        <w:rPr>
          <w:rFonts w:ascii="Cambria" w:hAnsi="Cambria"/>
          <w:sz w:val="24"/>
          <w:szCs w:val="24"/>
        </w:rPr>
        <w:tab/>
        <w:t>:</w:t>
      </w:r>
    </w:p>
    <w:p w:rsidR="007E2F76" w:rsidRDefault="007E2F76" w:rsidP="007E2F76">
      <w:pPr>
        <w:jc w:val="both"/>
        <w:rPr>
          <w:rFonts w:ascii="Cambria" w:hAnsi="Cambria"/>
          <w:sz w:val="24"/>
          <w:szCs w:val="24"/>
        </w:rPr>
      </w:pPr>
      <w:r w:rsidRPr="007E2F76">
        <w:rPr>
          <w:rFonts w:ascii="Cambria" w:hAnsi="Cambria"/>
          <w:sz w:val="24"/>
          <w:szCs w:val="24"/>
        </w:rPr>
        <w:t xml:space="preserve">Şüpheli Mehmet </w:t>
      </w:r>
      <w:proofErr w:type="spellStart"/>
      <w:r w:rsidRPr="007E2F76">
        <w:rPr>
          <w:rFonts w:ascii="Cambria" w:hAnsi="Cambria"/>
          <w:sz w:val="24"/>
          <w:szCs w:val="24"/>
        </w:rPr>
        <w:t>Özhaseki</w:t>
      </w:r>
      <w:proofErr w:type="spellEnd"/>
      <w:r w:rsidRPr="007E2F76">
        <w:rPr>
          <w:rFonts w:ascii="Cambria" w:hAnsi="Cambria"/>
          <w:sz w:val="24"/>
          <w:szCs w:val="24"/>
        </w:rPr>
        <w:t>, 20 Şubat 2021 tarihinde Kayseri'de Melikgazi Belediyesinin Yıldırım Beyazıt mahallesinde yaptırdığı Sami İpek Caddesi'nin açılışında "</w:t>
      </w:r>
      <w:proofErr w:type="spellStart"/>
      <w:r w:rsidRPr="007E2F76">
        <w:rPr>
          <w:rFonts w:ascii="Cambria" w:hAnsi="Cambria"/>
          <w:sz w:val="24"/>
          <w:szCs w:val="24"/>
        </w:rPr>
        <w:t>HDP'yi</w:t>
      </w:r>
      <w:proofErr w:type="spellEnd"/>
      <w:r w:rsidRPr="007E2F76">
        <w:rPr>
          <w:rFonts w:ascii="Cambria" w:hAnsi="Cambria"/>
          <w:sz w:val="24"/>
          <w:szCs w:val="24"/>
        </w:rPr>
        <w:t xml:space="preserve"> her fırsatta söylemeliyiz. Bir gün olsun Mecliste PKK'ya 'lanet olsun' diyemediler. Ana muhalefet de bunların sözcülüğünü yapmaya devam ediyor. Seçimlerde 4 tane oy alabilmek için olmadık kalıba giriyorsunuz. Lanet olsun oylarına. Onların oylarının Allah belasını versin. Bunları her fırsatta söylemeliyiz." şeklinde açıklamada bulunmuştur.</w:t>
      </w:r>
    </w:p>
    <w:p w:rsidR="007E2F76" w:rsidRDefault="007E2F76" w:rsidP="007E2F76">
      <w:pPr>
        <w:jc w:val="both"/>
        <w:rPr>
          <w:rFonts w:ascii="Cambria" w:hAnsi="Cambria"/>
          <w:sz w:val="24"/>
          <w:szCs w:val="24"/>
        </w:rPr>
      </w:pPr>
      <w:r>
        <w:rPr>
          <w:rFonts w:ascii="Cambria" w:hAnsi="Cambria"/>
          <w:sz w:val="24"/>
          <w:szCs w:val="24"/>
        </w:rPr>
        <w:t xml:space="preserve">Şüphelinin ulusal televizyon kanallarında ve ulusal basında yayınlanan bu sözleri toplumun büyük bir kesiminde ve özellikle Halkların Demokratik Partisine (HDP) oy veren ve vermeyi düşünen herkeste büyük bir infial yaratmıştır, rencide etmiştir. </w:t>
      </w:r>
    </w:p>
    <w:p w:rsidR="007E2F76" w:rsidRDefault="007E2F76" w:rsidP="007E2F76">
      <w:pPr>
        <w:jc w:val="both"/>
        <w:rPr>
          <w:rFonts w:ascii="Cambria" w:hAnsi="Cambria"/>
          <w:sz w:val="24"/>
          <w:szCs w:val="24"/>
        </w:rPr>
      </w:pPr>
      <w:r>
        <w:rPr>
          <w:rFonts w:ascii="Cambria" w:hAnsi="Cambria"/>
          <w:sz w:val="24"/>
          <w:szCs w:val="24"/>
        </w:rPr>
        <w:t xml:space="preserve">Bu sözlerin ifade özgürlüğü kapsamında değerlendirilmesi de mümkün değildir. Konuşma bir bütün olarak nefret ve ayrımcılık, halkı kin ve düşmanlığa teşvik veya aşağılama, hakaret, siyasi hakların kullanılmasının engellenmesi, siyasi tercihleri ve düşünceleri nedeniyle seçmenin kınanması gibi </w:t>
      </w:r>
      <w:proofErr w:type="gramStart"/>
      <w:r>
        <w:rPr>
          <w:rFonts w:ascii="Cambria" w:hAnsi="Cambria"/>
          <w:sz w:val="24"/>
          <w:szCs w:val="24"/>
        </w:rPr>
        <w:t>bir çok</w:t>
      </w:r>
      <w:proofErr w:type="gramEnd"/>
      <w:r>
        <w:rPr>
          <w:rFonts w:ascii="Cambria" w:hAnsi="Cambria"/>
          <w:sz w:val="24"/>
          <w:szCs w:val="24"/>
        </w:rPr>
        <w:t xml:space="preserve"> suçu birlikte oluşturmaktadır. İfade özgürlüğünün sınırlanması ile ilişkili olarak TCK '</w:t>
      </w:r>
      <w:proofErr w:type="spellStart"/>
      <w:r>
        <w:rPr>
          <w:rFonts w:ascii="Cambria" w:hAnsi="Cambria"/>
          <w:sz w:val="24"/>
          <w:szCs w:val="24"/>
        </w:rPr>
        <w:t>nın</w:t>
      </w:r>
      <w:proofErr w:type="spellEnd"/>
      <w:r>
        <w:rPr>
          <w:rFonts w:ascii="Cambria" w:hAnsi="Cambria"/>
          <w:sz w:val="24"/>
          <w:szCs w:val="24"/>
        </w:rPr>
        <w:t xml:space="preserve"> ilgili </w:t>
      </w:r>
      <w:proofErr w:type="gramStart"/>
      <w:r>
        <w:rPr>
          <w:rFonts w:ascii="Cambria" w:hAnsi="Cambria"/>
          <w:sz w:val="24"/>
          <w:szCs w:val="24"/>
        </w:rPr>
        <w:t>maddeleri   özellikle</w:t>
      </w:r>
      <w:proofErr w:type="gramEnd"/>
      <w:r>
        <w:rPr>
          <w:rFonts w:ascii="Cambria" w:hAnsi="Cambria"/>
          <w:sz w:val="24"/>
          <w:szCs w:val="24"/>
        </w:rPr>
        <w:t xml:space="preserve"> de kamu barışının korunmak istenmesinden kaynaklanmaktadır. Her ne kadar ifade özgürlüğü esas itibariyle sınırsız olsa da, bu düzenlemede somutlaştırıldığı üzere, kamu barışı şeklindeki hukuksal değerin korunması amacıyla sınırlamaya maruz kalmaktadır. </w:t>
      </w:r>
    </w:p>
    <w:p w:rsidR="007E2F76" w:rsidRDefault="007E2F76" w:rsidP="007E2F76">
      <w:pPr>
        <w:jc w:val="both"/>
        <w:rPr>
          <w:rFonts w:ascii="Cambria" w:hAnsi="Cambria"/>
          <w:sz w:val="24"/>
          <w:szCs w:val="24"/>
        </w:rPr>
      </w:pPr>
      <w:r>
        <w:rPr>
          <w:rFonts w:ascii="Cambria" w:hAnsi="Cambria"/>
          <w:sz w:val="24"/>
          <w:szCs w:val="24"/>
        </w:rPr>
        <w:t xml:space="preserve">Atılı suçlar yönünden Kamu </w:t>
      </w:r>
      <w:r w:rsidR="00AD3436">
        <w:rPr>
          <w:rFonts w:ascii="Cambria" w:hAnsi="Cambria"/>
          <w:sz w:val="24"/>
          <w:szCs w:val="24"/>
        </w:rPr>
        <w:t xml:space="preserve">Barışı </w:t>
      </w:r>
      <w:r>
        <w:rPr>
          <w:rFonts w:ascii="Cambria" w:hAnsi="Cambria"/>
          <w:sz w:val="24"/>
          <w:szCs w:val="24"/>
        </w:rPr>
        <w:t xml:space="preserve">yanında HDP ye oy verdiği/vereceği düşünülen kişiler </w:t>
      </w:r>
      <w:proofErr w:type="gramStart"/>
      <w:r>
        <w:rPr>
          <w:rFonts w:ascii="Cambria" w:hAnsi="Cambria"/>
          <w:sz w:val="24"/>
          <w:szCs w:val="24"/>
        </w:rPr>
        <w:t>yönünden  kişi</w:t>
      </w:r>
      <w:proofErr w:type="gramEnd"/>
      <w:r>
        <w:rPr>
          <w:rFonts w:ascii="Cambria" w:hAnsi="Cambria"/>
          <w:sz w:val="24"/>
          <w:szCs w:val="24"/>
        </w:rPr>
        <w:t xml:space="preserve"> güvenliğinin  de risk altına  girmesi söz konusudur.   </w:t>
      </w:r>
      <w:proofErr w:type="gramStart"/>
      <w:r>
        <w:rPr>
          <w:rFonts w:ascii="Cambria" w:hAnsi="Cambria"/>
          <w:sz w:val="24"/>
          <w:szCs w:val="24"/>
        </w:rPr>
        <w:t>Şüpheli  bu</w:t>
      </w:r>
      <w:proofErr w:type="gramEnd"/>
      <w:r>
        <w:rPr>
          <w:rFonts w:ascii="Cambria" w:hAnsi="Cambria"/>
          <w:sz w:val="24"/>
          <w:szCs w:val="24"/>
        </w:rPr>
        <w:t xml:space="preserve"> sözleri sadece söylememiş, tarzı ile tahriki açıkça   gerçekleştirmiştir. Burada Şikayet edilen ve cezalandırılma</w:t>
      </w:r>
      <w:r w:rsidR="00AD3436">
        <w:rPr>
          <w:rFonts w:ascii="Cambria" w:hAnsi="Cambria"/>
          <w:sz w:val="24"/>
          <w:szCs w:val="24"/>
        </w:rPr>
        <w:t xml:space="preserve">sı istenen </w:t>
      </w:r>
      <w:r>
        <w:rPr>
          <w:rFonts w:ascii="Cambria" w:hAnsi="Cambria"/>
          <w:sz w:val="24"/>
          <w:szCs w:val="24"/>
        </w:rPr>
        <w:t xml:space="preserve">salt düşüncenin ifade edilmesinden öte, bunun kamu güvenliği açısından açık ve yakın şekilde, zarar </w:t>
      </w:r>
      <w:proofErr w:type="gramStart"/>
      <w:r>
        <w:rPr>
          <w:rFonts w:ascii="Cambria" w:hAnsi="Cambria"/>
          <w:sz w:val="24"/>
          <w:szCs w:val="24"/>
        </w:rPr>
        <w:t>sonucu  ortaya</w:t>
      </w:r>
      <w:proofErr w:type="gramEnd"/>
      <w:r>
        <w:rPr>
          <w:rFonts w:ascii="Cambria" w:hAnsi="Cambria"/>
          <w:sz w:val="24"/>
          <w:szCs w:val="24"/>
        </w:rPr>
        <w:t xml:space="preserve"> çıkaracak bir fiile ilişkin tehlikeye sebep olmasıdır.</w:t>
      </w:r>
    </w:p>
    <w:p w:rsidR="007E2F76" w:rsidRDefault="007E2F76" w:rsidP="007E2F76">
      <w:pPr>
        <w:jc w:val="both"/>
        <w:rPr>
          <w:rFonts w:ascii="Cambria" w:hAnsi="Cambria"/>
          <w:sz w:val="24"/>
          <w:szCs w:val="24"/>
        </w:rPr>
      </w:pPr>
      <w:r>
        <w:rPr>
          <w:rFonts w:ascii="Cambria" w:hAnsi="Cambria"/>
          <w:sz w:val="24"/>
          <w:szCs w:val="24"/>
        </w:rPr>
        <w:t xml:space="preserve">Anayasa'nın 25. Maddesinde "  Herkes, düşünce ve kanaat hürriyetine sahiptir. Her ne sebep ve amaçla olursa olsun kimse, düşünce ve kanaatlerini açıklamaya zorlanamaz; </w:t>
      </w:r>
      <w:r>
        <w:rPr>
          <w:rFonts w:ascii="Cambria" w:hAnsi="Cambria"/>
          <w:sz w:val="24"/>
          <w:szCs w:val="24"/>
        </w:rPr>
        <w:lastRenderedPageBreak/>
        <w:t xml:space="preserve">düşünce ve kanaatleri sebebiyle kınanamaz ve suçlanamaz." demektedir. Demokratik toplumlarda, Oy kullanma hakkı da düşünce ve kanaatin tezahürlerinden birisidir. </w:t>
      </w:r>
    </w:p>
    <w:p w:rsidR="007E2F76" w:rsidRDefault="007E2F76" w:rsidP="007E2F76">
      <w:pPr>
        <w:jc w:val="both"/>
        <w:rPr>
          <w:rFonts w:ascii="Cambria" w:hAnsi="Cambria"/>
          <w:sz w:val="24"/>
          <w:szCs w:val="24"/>
        </w:rPr>
      </w:pPr>
      <w:r>
        <w:rPr>
          <w:rFonts w:ascii="Cambria" w:hAnsi="Cambria"/>
          <w:sz w:val="24"/>
          <w:szCs w:val="24"/>
        </w:rPr>
        <w:t xml:space="preserve">Şüpheli bu sözleri ile HDP' ye oy verenlere veya vermeyi düşünenlerin temel haklarını ihlal ettiği gibi demokratik işleyişe karşı tahammülsüzlüğünü ortaya koymuştur. </w:t>
      </w:r>
      <w:proofErr w:type="gramStart"/>
      <w:r>
        <w:rPr>
          <w:rFonts w:ascii="Cambria" w:hAnsi="Cambria"/>
          <w:sz w:val="24"/>
          <w:szCs w:val="24"/>
        </w:rPr>
        <w:t>Oysa ki</w:t>
      </w:r>
      <w:proofErr w:type="gramEnd"/>
      <w:r>
        <w:rPr>
          <w:rFonts w:ascii="Cambria" w:hAnsi="Cambria"/>
          <w:sz w:val="24"/>
          <w:szCs w:val="24"/>
        </w:rPr>
        <w:t>, seçimin temel unsurları olan seçme ve seçilme hakları, demokratik bir yönetimin vazgeçilmez, olmazsa olmaz koşullarının başında gelmektedir.</w:t>
      </w:r>
    </w:p>
    <w:p w:rsidR="007E2F76" w:rsidRDefault="007E2F76" w:rsidP="007E2F76">
      <w:pPr>
        <w:jc w:val="both"/>
        <w:rPr>
          <w:rFonts w:ascii="Cambria" w:hAnsi="Cambria"/>
          <w:sz w:val="24"/>
          <w:szCs w:val="24"/>
        </w:rPr>
      </w:pPr>
      <w:r>
        <w:rPr>
          <w:rFonts w:ascii="Cambria" w:hAnsi="Cambria"/>
          <w:sz w:val="24"/>
          <w:szCs w:val="24"/>
        </w:rPr>
        <w:t xml:space="preserve">İnsan Hakları Evrensel </w:t>
      </w:r>
      <w:proofErr w:type="gramStart"/>
      <w:r>
        <w:rPr>
          <w:rFonts w:ascii="Cambria" w:hAnsi="Cambria"/>
          <w:sz w:val="24"/>
          <w:szCs w:val="24"/>
        </w:rPr>
        <w:t>Bildirisi'nin  21</w:t>
      </w:r>
      <w:proofErr w:type="gramEnd"/>
      <w:r>
        <w:rPr>
          <w:rFonts w:ascii="Cambria" w:hAnsi="Cambria"/>
          <w:sz w:val="24"/>
          <w:szCs w:val="24"/>
        </w:rPr>
        <w:t xml:space="preserve">. Maddesi, Birleşmiş Milletler, Kişisel ve Siyasal Haklara İlişkin Uluslararası Sözleşme, Avrupa İnsan Hakları Sözleşmesi'nin 1 </w:t>
      </w:r>
      <w:proofErr w:type="spellStart"/>
      <w:r>
        <w:rPr>
          <w:rFonts w:ascii="Cambria" w:hAnsi="Cambria"/>
          <w:sz w:val="24"/>
          <w:szCs w:val="24"/>
        </w:rPr>
        <w:t>Nolu</w:t>
      </w:r>
      <w:proofErr w:type="spellEnd"/>
      <w:r>
        <w:rPr>
          <w:rFonts w:ascii="Cambria" w:hAnsi="Cambria"/>
          <w:sz w:val="24"/>
          <w:szCs w:val="24"/>
        </w:rPr>
        <w:t xml:space="preserve"> Ek </w:t>
      </w:r>
      <w:proofErr w:type="spellStart"/>
      <w:r>
        <w:rPr>
          <w:rFonts w:ascii="Cambria" w:hAnsi="Cambria"/>
          <w:sz w:val="24"/>
          <w:szCs w:val="24"/>
        </w:rPr>
        <w:t>Protokol'un</w:t>
      </w:r>
      <w:proofErr w:type="spellEnd"/>
      <w:r>
        <w:rPr>
          <w:rFonts w:ascii="Cambria" w:hAnsi="Cambria"/>
          <w:sz w:val="24"/>
          <w:szCs w:val="24"/>
        </w:rPr>
        <w:t xml:space="preserve"> 3. Maddeleri seçme, seçilme ve siyasi faaliyette bulunma hakkını güvence altına almıştır.  Anayasa'nın 67. maddesi, vatandaşların seçme ve seçilme hakkı temel hak ve özgürlük olarak güvence altına alınmıştır. Anayasa'nın 68-69 maddelerinde ise siyasi parti faaliyetleri güvence altına alınmıştır.</w:t>
      </w:r>
    </w:p>
    <w:p w:rsidR="007E2F76" w:rsidRDefault="007E2F76" w:rsidP="007E2F76">
      <w:pPr>
        <w:jc w:val="both"/>
        <w:rPr>
          <w:rFonts w:ascii="Cambria" w:hAnsi="Cambria"/>
          <w:sz w:val="24"/>
          <w:szCs w:val="24"/>
        </w:rPr>
      </w:pPr>
      <w:r>
        <w:rPr>
          <w:rFonts w:ascii="Cambria" w:hAnsi="Cambria"/>
          <w:sz w:val="24"/>
          <w:szCs w:val="24"/>
        </w:rPr>
        <w:t>Şüpheli, uluslararası sözleşme ve anayasa da güvence altına alınan oy verme hakkını kullanan seçmene karşı ayrımcı ve nefret söyleminde bulunmuştur. Seçmeni yaptığı siyasal tercih nedeniyle ötekileştirerek hedef haline getirerek suç işlemiştir.</w:t>
      </w:r>
    </w:p>
    <w:p w:rsidR="007E2F76" w:rsidRDefault="007E2F76" w:rsidP="007E2F76">
      <w:pPr>
        <w:jc w:val="both"/>
        <w:rPr>
          <w:rFonts w:ascii="Cambria" w:hAnsi="Cambria"/>
          <w:sz w:val="24"/>
          <w:szCs w:val="24"/>
        </w:rPr>
      </w:pPr>
      <w:r>
        <w:rPr>
          <w:rFonts w:ascii="Cambria" w:hAnsi="Cambria"/>
          <w:sz w:val="24"/>
          <w:szCs w:val="24"/>
        </w:rPr>
        <w:t>Nefret ve Ayrımcılık Yasağı, uluslararası insan hakları koruma rejiminin temel ilkelerinden biridir. Bu nedenle, uluslararası insan hakları hukuku standartları çerçevesinde kapsamlı olarak tanımlanıp, koruma altına alınmıştır.</w:t>
      </w:r>
    </w:p>
    <w:p w:rsidR="007E2F76" w:rsidRDefault="007E2F76" w:rsidP="007E2F76">
      <w:pPr>
        <w:jc w:val="both"/>
        <w:rPr>
          <w:rFonts w:ascii="Cambria" w:hAnsi="Cambria"/>
          <w:sz w:val="24"/>
          <w:szCs w:val="24"/>
        </w:rPr>
      </w:pPr>
      <w:proofErr w:type="gramStart"/>
      <w:r>
        <w:rPr>
          <w:rFonts w:ascii="Cambria" w:hAnsi="Cambria"/>
          <w:sz w:val="24"/>
          <w:szCs w:val="24"/>
        </w:rPr>
        <w:t>Birleşmiş  Milletler</w:t>
      </w:r>
      <w:proofErr w:type="gramEnd"/>
      <w:r>
        <w:rPr>
          <w:rFonts w:ascii="Cambria" w:hAnsi="Cambria"/>
          <w:sz w:val="24"/>
          <w:szCs w:val="24"/>
        </w:rPr>
        <w:t xml:space="preserve">  İnsan  Hakları  Evrensel  Bildirisi’nin  birinci  maddesinde, “bütün  insanlar özgür,  onur  ve  haklar  bakımından  eşit  doğarlar...”  cümlesiyle  ifade edilen  “eşitlik”  ilkesi,  aynı  zamanda  diğer  bütün  hakların  da  temelini  oluşturur. </w:t>
      </w:r>
      <w:proofErr w:type="gramStart"/>
      <w:r>
        <w:rPr>
          <w:rFonts w:ascii="Cambria" w:hAnsi="Cambria"/>
          <w:sz w:val="24"/>
          <w:szCs w:val="24"/>
        </w:rPr>
        <w:t>Bildirinin  ayrımcılıkla</w:t>
      </w:r>
      <w:proofErr w:type="gramEnd"/>
      <w:r>
        <w:rPr>
          <w:rFonts w:ascii="Cambria" w:hAnsi="Cambria"/>
          <w:sz w:val="24"/>
          <w:szCs w:val="24"/>
        </w:rPr>
        <w:t xml:space="preserve">  ilgili  ikinci  maddesi  insan  haklarına  ayrımsız  olarak  sahip olunacağını  ifade  ettiği  gibi  eşitliğin  kapsamını  da  tanımlar  niteliktedir,  buna  göre; Herkes, ırk,  renk,  cinsiyet, dil,  din,  siyasal veya başka  bir görüş, ulusal  veya  sosyal köken, mülkiyet, doğuş veya herhangi başka bir ayrım gözetmeksizin bu bildirge ile ilan olunan bütün haklardan ve  bütün  özgürlüklerden yararlanabilir. Avrupa İnsan Hakları </w:t>
      </w:r>
      <w:proofErr w:type="spellStart"/>
      <w:r>
        <w:rPr>
          <w:rFonts w:ascii="Cambria" w:hAnsi="Cambria"/>
          <w:sz w:val="24"/>
          <w:szCs w:val="24"/>
        </w:rPr>
        <w:t>Sözleşmesi’de</w:t>
      </w:r>
      <w:proofErr w:type="spellEnd"/>
      <w:r>
        <w:rPr>
          <w:rFonts w:ascii="Cambria" w:hAnsi="Cambria"/>
          <w:sz w:val="24"/>
          <w:szCs w:val="24"/>
        </w:rPr>
        <w:t xml:space="preserve"> </w:t>
      </w:r>
      <w:proofErr w:type="gramStart"/>
      <w:r>
        <w:rPr>
          <w:rFonts w:ascii="Cambria" w:hAnsi="Cambria"/>
          <w:sz w:val="24"/>
          <w:szCs w:val="24"/>
        </w:rPr>
        <w:t>bildirgede  anılan</w:t>
      </w:r>
      <w:proofErr w:type="gramEnd"/>
      <w:r>
        <w:rPr>
          <w:rFonts w:ascii="Cambria" w:hAnsi="Cambria"/>
          <w:sz w:val="24"/>
          <w:szCs w:val="24"/>
        </w:rPr>
        <w:t xml:space="preserve">  hakları  topluca  güvence  altına  almıştır.  </w:t>
      </w:r>
      <w:proofErr w:type="gramStart"/>
      <w:r>
        <w:rPr>
          <w:rFonts w:ascii="Cambria" w:hAnsi="Cambria"/>
          <w:sz w:val="24"/>
          <w:szCs w:val="24"/>
        </w:rPr>
        <w:t>Türkiye’nin  de</w:t>
      </w:r>
      <w:proofErr w:type="gramEnd"/>
      <w:r>
        <w:rPr>
          <w:rFonts w:ascii="Cambria" w:hAnsi="Cambria"/>
          <w:sz w:val="24"/>
          <w:szCs w:val="24"/>
        </w:rPr>
        <w:t xml:space="preserve">  imza koyduğu  bu  sözleşme  eşitlik  ilkesinin  uluslararası  dayanakları  arasındadır.  Türkiye </w:t>
      </w:r>
      <w:proofErr w:type="gramStart"/>
      <w:r>
        <w:rPr>
          <w:rFonts w:ascii="Cambria" w:hAnsi="Cambria"/>
          <w:sz w:val="24"/>
          <w:szCs w:val="24"/>
        </w:rPr>
        <w:t>Cumhuriyeti  Anayasası’nın</w:t>
      </w:r>
      <w:proofErr w:type="gramEnd"/>
      <w:r>
        <w:rPr>
          <w:rFonts w:ascii="Cambria" w:hAnsi="Cambria"/>
          <w:sz w:val="24"/>
          <w:szCs w:val="24"/>
        </w:rPr>
        <w:t xml:space="preserve">  10. maddesi  de,  “kanun  önünde  eşitlik”  başlığı altında,  anılan  uluslararası  bildirge  ve  sözleşmelere  paralel  olarak,  eşitlik  ilkesini ayrıntılı biçimde düzenler.</w:t>
      </w:r>
    </w:p>
    <w:p w:rsidR="007E2F76" w:rsidRDefault="007E2F76" w:rsidP="007E2F76">
      <w:pPr>
        <w:jc w:val="both"/>
        <w:rPr>
          <w:rFonts w:ascii="Cambria" w:hAnsi="Cambria"/>
          <w:sz w:val="24"/>
          <w:szCs w:val="24"/>
        </w:rPr>
      </w:pPr>
      <w:r>
        <w:rPr>
          <w:rFonts w:ascii="Cambria" w:hAnsi="Cambria"/>
          <w:sz w:val="24"/>
          <w:szCs w:val="24"/>
        </w:rPr>
        <w:t xml:space="preserve">TCK 122. maddesi 6529 sayılı 15. madde ile değiştirilerek maddenin “Ayrımcılık” olan başlığı “Nefret ve Ayrımcılık” olarak değiştirilmiştir. 6529 sayılı Yasanın gerekçesinde “Nefret suçlarında hedef mağdurdan öte mağdurun üyesi olduğu sosyal gruptur. Fail için ise ön yargı, açık veya örtülü şekilde suçun işlenme </w:t>
      </w:r>
      <w:proofErr w:type="gramStart"/>
      <w:r>
        <w:rPr>
          <w:rFonts w:ascii="Cambria" w:hAnsi="Cambria"/>
          <w:sz w:val="24"/>
          <w:szCs w:val="24"/>
        </w:rPr>
        <w:t>motivasyonunu</w:t>
      </w:r>
      <w:proofErr w:type="gramEnd"/>
      <w:r>
        <w:rPr>
          <w:rFonts w:ascii="Cambria" w:hAnsi="Cambria"/>
          <w:sz w:val="24"/>
          <w:szCs w:val="24"/>
        </w:rPr>
        <w:t xml:space="preserve"> oluşturmaktadır. Ayrımcılık temelli olması nedeniyle nefret suçu, fail ve mağdur ile birlikte tüm toplumu yakından etkilemektedir. Bu kapsamda TCK’da, ayrımcılık suçuyla birlikte nefret suçu da düzenlenmektedir.” ifadesi ile TCK 122. maddesinin, nefret suçunu da düzenlendiği vurgulanmıştır.</w:t>
      </w:r>
    </w:p>
    <w:p w:rsidR="007E2F76" w:rsidRDefault="007E2F76" w:rsidP="007E2F76">
      <w:pPr>
        <w:jc w:val="both"/>
        <w:rPr>
          <w:rFonts w:ascii="Cambria" w:hAnsi="Cambria"/>
          <w:sz w:val="24"/>
          <w:szCs w:val="24"/>
        </w:rPr>
      </w:pPr>
      <w:r>
        <w:rPr>
          <w:rFonts w:ascii="Cambria" w:hAnsi="Cambria"/>
          <w:sz w:val="24"/>
          <w:szCs w:val="24"/>
        </w:rPr>
        <w:lastRenderedPageBreak/>
        <w:t xml:space="preserve">Nefret suçu: Avrupa Güvenlik ve İşbirliği Teşkilatı’nın (AGİT) tanımına göre; Mağdurun mülkün ya da işlenen bir suçun hedefinin, gerçek veya hissedilen ırk, ulusal ya da etnik köken, dil, renk, din, cinsiyet, yaş, zihinsel </w:t>
      </w:r>
      <w:proofErr w:type="gramStart"/>
      <w:r>
        <w:rPr>
          <w:rFonts w:ascii="Cambria" w:hAnsi="Cambria"/>
          <w:sz w:val="24"/>
          <w:szCs w:val="24"/>
        </w:rPr>
        <w:t>yada</w:t>
      </w:r>
      <w:proofErr w:type="gramEnd"/>
      <w:r>
        <w:rPr>
          <w:rFonts w:ascii="Cambria" w:hAnsi="Cambria"/>
          <w:sz w:val="24"/>
          <w:szCs w:val="24"/>
        </w:rPr>
        <w:t xml:space="preserve"> fiziksel engellilik, cinsel yönelim veya diğer benzer faktörlere dayalı olarak benzer özellikler taşıyan bir grupla gerçek ya da öyle algılanan bağı, bağlılığı, aidiyeti, desteği ya da üyeliği nedeniyle seçildiği, kişilere veya mala karşı suçları da kapsayacak şekilde işlenen her türlü suçtur.</w:t>
      </w:r>
    </w:p>
    <w:p w:rsidR="007E2F76" w:rsidRDefault="007E2F76" w:rsidP="007E2F76">
      <w:pPr>
        <w:jc w:val="both"/>
        <w:rPr>
          <w:rFonts w:ascii="Cambria" w:hAnsi="Cambria"/>
          <w:sz w:val="24"/>
          <w:szCs w:val="24"/>
        </w:rPr>
      </w:pPr>
      <w:r>
        <w:rPr>
          <w:rFonts w:ascii="Cambria" w:hAnsi="Cambria"/>
          <w:sz w:val="24"/>
          <w:szCs w:val="24"/>
        </w:rPr>
        <w:t xml:space="preserve">Nefret suçunun oluşması için, failin ön yargı </w:t>
      </w:r>
      <w:proofErr w:type="spellStart"/>
      <w:r>
        <w:rPr>
          <w:rFonts w:ascii="Cambria" w:hAnsi="Cambria"/>
          <w:sz w:val="24"/>
          <w:szCs w:val="24"/>
        </w:rPr>
        <w:t>saiki</w:t>
      </w:r>
      <w:proofErr w:type="spellEnd"/>
      <w:r>
        <w:rPr>
          <w:rFonts w:ascii="Cambria" w:hAnsi="Cambria"/>
          <w:sz w:val="24"/>
          <w:szCs w:val="24"/>
        </w:rPr>
        <w:t xml:space="preserve"> ile hareket ederek Ceza Kanununda suç olarak düzenlenen eylemi kişi veya gruba karşı aidiyeti nedeniyle işlenmesi gerekir.</w:t>
      </w:r>
    </w:p>
    <w:p w:rsidR="007E2F76" w:rsidRDefault="007E2F76" w:rsidP="007E2F76">
      <w:pPr>
        <w:jc w:val="both"/>
        <w:rPr>
          <w:rFonts w:ascii="Cambria" w:hAnsi="Cambria"/>
          <w:sz w:val="24"/>
          <w:szCs w:val="24"/>
        </w:rPr>
      </w:pPr>
      <w:r>
        <w:rPr>
          <w:rFonts w:ascii="Cambria" w:hAnsi="Cambria"/>
          <w:sz w:val="24"/>
          <w:szCs w:val="24"/>
        </w:rPr>
        <w:t xml:space="preserve">Şüpheli bu sözleri ile herhangi bir evrensel gerekçe söz konusu olmaksızın, HDP seçmenlerine karşı yalnızca siyasi görüşleri, tercihleri nedeniyle haklar ve özgürlükler bağlamında diğer partilere oy veren seçmenlerden farklı ve eşit olmayan bir ithamla siyasi ayrımcılık yaparak suç işlemiştir. </w:t>
      </w:r>
    </w:p>
    <w:p w:rsidR="007E2F76" w:rsidRDefault="007E2F76" w:rsidP="007E2F76">
      <w:pPr>
        <w:jc w:val="both"/>
        <w:rPr>
          <w:rFonts w:ascii="Cambria" w:hAnsi="Cambria"/>
          <w:sz w:val="24"/>
          <w:szCs w:val="24"/>
        </w:rPr>
      </w:pPr>
      <w:r>
        <w:rPr>
          <w:rFonts w:ascii="Cambria" w:hAnsi="Cambria"/>
          <w:sz w:val="24"/>
          <w:szCs w:val="24"/>
        </w:rPr>
        <w:t>Şüpheli, hiçbir haklı sebebi olmadığı halde açıklamalarında Halkların Demokratik Partisi’ne karşı düşmanlık beslemekte ve nefret söyleminde bulunmaktadır. Yukarıda da belirttiğimiz gibi sosyal ve politik ortam sebebiyle Halkların Demokratik Partisi üzerinde büyük baskı olup üye ve yöneticileri sürekli tehdit altındadır. Şüphelinin ulusal televizyon kanallarında ve basında yayınlanan bu sözleri bu partiye, haliyle üyelerine ve seçmenlerine karşı nefret söyleminde bulunup haber programlarını izleyen,</w:t>
      </w:r>
      <w:r w:rsidR="00AD3436">
        <w:rPr>
          <w:rFonts w:ascii="Cambria" w:hAnsi="Cambria"/>
          <w:sz w:val="24"/>
          <w:szCs w:val="24"/>
        </w:rPr>
        <w:t xml:space="preserve"> </w:t>
      </w:r>
      <w:r>
        <w:rPr>
          <w:rFonts w:ascii="Cambria" w:hAnsi="Cambria"/>
          <w:sz w:val="24"/>
          <w:szCs w:val="24"/>
        </w:rPr>
        <w:t>basın</w:t>
      </w:r>
      <w:r w:rsidR="00AD3436">
        <w:rPr>
          <w:rFonts w:ascii="Cambria" w:hAnsi="Cambria"/>
          <w:sz w:val="24"/>
          <w:szCs w:val="24"/>
        </w:rPr>
        <w:t>dan</w:t>
      </w:r>
      <w:r>
        <w:rPr>
          <w:rFonts w:ascii="Cambria" w:hAnsi="Cambria"/>
          <w:sz w:val="24"/>
          <w:szCs w:val="24"/>
        </w:rPr>
        <w:t xml:space="preserve"> takip </w:t>
      </w:r>
      <w:proofErr w:type="gramStart"/>
      <w:r>
        <w:rPr>
          <w:rFonts w:ascii="Cambria" w:hAnsi="Cambria"/>
          <w:sz w:val="24"/>
          <w:szCs w:val="24"/>
        </w:rPr>
        <w:t>eden  kişileri</w:t>
      </w:r>
      <w:proofErr w:type="gramEnd"/>
      <w:r>
        <w:rPr>
          <w:rFonts w:ascii="Cambria" w:hAnsi="Cambria"/>
          <w:sz w:val="24"/>
          <w:szCs w:val="24"/>
        </w:rPr>
        <w:t xml:space="preserve"> de bu suça tahrik etmek TCK 216/1’deki suçu oluşturur. Halkı kin ve düşmanlığa alenen tahrik suçu tehlike suçu olup, suçun oluşması için zarar oluşması gerekmez. Dolayısıyla kamu barışının bozulma ihtimali suçun işlenmesi için yeterlidir. Bu unsurun gerçekleşmesi için kamu barışını bozmak için açık ve yetkin bir tehlike olması gerekmez. </w:t>
      </w:r>
    </w:p>
    <w:p w:rsidR="007E2F76" w:rsidRDefault="007E2F76" w:rsidP="007E2F76">
      <w:pPr>
        <w:jc w:val="both"/>
        <w:rPr>
          <w:rFonts w:ascii="Cambria" w:hAnsi="Cambria"/>
          <w:sz w:val="24"/>
          <w:szCs w:val="24"/>
        </w:rPr>
      </w:pPr>
      <w:r>
        <w:rPr>
          <w:rFonts w:ascii="Cambria" w:hAnsi="Cambria"/>
          <w:sz w:val="24"/>
          <w:szCs w:val="24"/>
        </w:rPr>
        <w:t xml:space="preserve">Kaldı ki, geçmişte bu tarz her söz ve davranış sonrası HDP ve üyelerine ilişkin fiziki şiddet ve saldırılar gerçekleşmiştir.  Sadece bu durum dahi tehlikenin ciddiyetini göstermektedir. </w:t>
      </w:r>
    </w:p>
    <w:p w:rsidR="007E2F76" w:rsidRDefault="007E2F76" w:rsidP="007E2F76">
      <w:pPr>
        <w:jc w:val="both"/>
        <w:rPr>
          <w:rFonts w:ascii="Cambria" w:hAnsi="Cambria"/>
          <w:sz w:val="24"/>
          <w:szCs w:val="24"/>
        </w:rPr>
      </w:pPr>
      <w:r>
        <w:rPr>
          <w:rFonts w:ascii="Cambria" w:hAnsi="Cambria"/>
          <w:sz w:val="24"/>
          <w:szCs w:val="24"/>
        </w:rPr>
        <w:t xml:space="preserve">Tehdit suçu, meydana gelmesi failin iradesine bağlı olan bir kötülüğün, belli bir kişiye karşı gelecekte muhtemelen gerçekleşecekmiş gibi gösterilmesidir. Tehdit suçu, haksız bir zarara veya kötülüğe uğratılacağının bir kimseye bildirilmesiyle meydana gelir. Tehdit suçunun oluşmasına neden olan bu bildirim, söz ile yapılabileceği gibi davranış yoluyla da yapılabilir. Tehdit suçunda korunan hukuki değer, kişilerin iç barışı, karar verme ve hareket etme özgürlüğüdür.  </w:t>
      </w:r>
    </w:p>
    <w:p w:rsidR="007E2F76" w:rsidRDefault="007E2F76" w:rsidP="007E2F76">
      <w:pPr>
        <w:jc w:val="both"/>
        <w:rPr>
          <w:rFonts w:ascii="Cambria" w:hAnsi="Cambria"/>
          <w:sz w:val="24"/>
          <w:szCs w:val="24"/>
        </w:rPr>
      </w:pPr>
      <w:proofErr w:type="gramStart"/>
      <w:r>
        <w:rPr>
          <w:rFonts w:ascii="Cambria" w:hAnsi="Cambria"/>
          <w:sz w:val="24"/>
          <w:szCs w:val="24"/>
        </w:rPr>
        <w:t>Şikayet</w:t>
      </w:r>
      <w:proofErr w:type="gramEnd"/>
      <w:r>
        <w:rPr>
          <w:rFonts w:ascii="Cambria" w:hAnsi="Cambria"/>
          <w:sz w:val="24"/>
          <w:szCs w:val="24"/>
        </w:rPr>
        <w:t xml:space="preserve"> edilen şüpheli,  açıklamaları ile Halkların Demokratik Partisi seçmeninin aklını başına alması gerektiğini söyleyerek tehdit etmektedir. Şüpheli tarafından yapılan bu tehdit, parti üyelerinin, seçmenin, parti çalışanlarının yapacakları veya katılacakları etkinliklerde korku ve zarar görme tehlikesi yaşatmaktadır. </w:t>
      </w:r>
      <w:r w:rsidR="006635CB">
        <w:rPr>
          <w:rFonts w:ascii="Cambria" w:hAnsi="Cambria"/>
          <w:sz w:val="24"/>
          <w:szCs w:val="24"/>
        </w:rPr>
        <w:t xml:space="preserve">Dolayısıyla, </w:t>
      </w:r>
      <w:r>
        <w:rPr>
          <w:rFonts w:ascii="Cambria" w:hAnsi="Cambria"/>
          <w:sz w:val="24"/>
          <w:szCs w:val="24"/>
        </w:rPr>
        <w:t xml:space="preserve">bu tehdit sebebiyle etkinliklere katılma konusunda karar verme ve hareket etme konusunda özgür olamayacak tereddüt yaşayacaklardır, aynı zamanda bu tereddüt sebebiyle kişilerin iç barışı bozulacaktır. Zira bugüne kadar Halkların Demokratik Partisi’nin </w:t>
      </w:r>
      <w:r>
        <w:rPr>
          <w:rFonts w:ascii="Cambria" w:hAnsi="Cambria"/>
          <w:sz w:val="24"/>
          <w:szCs w:val="24"/>
        </w:rPr>
        <w:lastRenderedPageBreak/>
        <w:t>birçok il, ilçesine binalarına saldırılar olmuş,  binalar ateşe verilmiş ve mitingine saldırılar düzenlenmiş, bombalar patlamış, parti binalarına bombalar bırakılmıştır. Haklı olarak üye ve seçmenleri tedirgin olmakla birlikte yasal olan örgütlenme faaliyetlerini bu şekilde yapılan tehdit ve hakaretler sebebiyle özgürce gerçekleştirememektedir. Bu sebeple, şüpheli şahsın bu haksız eylem</w:t>
      </w:r>
      <w:r w:rsidR="00AD3436">
        <w:rPr>
          <w:rFonts w:ascii="Cambria" w:hAnsi="Cambria"/>
          <w:sz w:val="24"/>
          <w:szCs w:val="24"/>
        </w:rPr>
        <w:t>ler</w:t>
      </w:r>
      <w:r>
        <w:rPr>
          <w:rFonts w:ascii="Cambria" w:hAnsi="Cambria"/>
          <w:sz w:val="24"/>
          <w:szCs w:val="24"/>
        </w:rPr>
        <w:t xml:space="preserve">inin cezalandırılması gerekmektedir. </w:t>
      </w:r>
    </w:p>
    <w:p w:rsidR="007E2F76" w:rsidRDefault="007E2F76" w:rsidP="007E2F76">
      <w:pPr>
        <w:jc w:val="both"/>
        <w:rPr>
          <w:rFonts w:ascii="Cambria" w:hAnsi="Cambria"/>
          <w:sz w:val="24"/>
          <w:szCs w:val="24"/>
        </w:rPr>
      </w:pPr>
      <w:r>
        <w:rPr>
          <w:rFonts w:ascii="Cambria" w:hAnsi="Cambria"/>
          <w:sz w:val="24"/>
          <w:szCs w:val="24"/>
        </w:rPr>
        <w:t xml:space="preserve">SONUÇ VE İSTEM </w:t>
      </w:r>
      <w:r>
        <w:rPr>
          <w:rFonts w:ascii="Cambria" w:hAnsi="Cambria"/>
          <w:sz w:val="24"/>
          <w:szCs w:val="24"/>
        </w:rPr>
        <w:tab/>
        <w:t xml:space="preserve">: Yukarıda açıklandığı üzere şüphelinin bu sözleri nedeniyle </w:t>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t xml:space="preserve">hakkında soruşturma başlatılmasını ve işlemiş olduğu suçlardan </w:t>
      </w:r>
      <w:r>
        <w:rPr>
          <w:rFonts w:ascii="Cambria" w:hAnsi="Cambria"/>
          <w:sz w:val="24"/>
          <w:szCs w:val="24"/>
        </w:rPr>
        <w:tab/>
      </w:r>
      <w:r>
        <w:rPr>
          <w:rFonts w:ascii="Cambria" w:hAnsi="Cambria"/>
          <w:sz w:val="24"/>
          <w:szCs w:val="24"/>
        </w:rPr>
        <w:tab/>
      </w:r>
      <w:r>
        <w:rPr>
          <w:rFonts w:ascii="Cambria" w:hAnsi="Cambria"/>
          <w:sz w:val="24"/>
          <w:szCs w:val="24"/>
        </w:rPr>
        <w:tab/>
        <w:t xml:space="preserve">dolayı cezalandırılması için kamu davası açılmasına karar </w:t>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t xml:space="preserve">verilmesini saygıyla talep ederiz. </w:t>
      </w:r>
      <w:r>
        <w:rPr>
          <w:rFonts w:ascii="Cambria" w:hAnsi="Cambria"/>
          <w:sz w:val="24"/>
          <w:szCs w:val="24"/>
        </w:rPr>
        <w:tab/>
        <w:t xml:space="preserve"> </w:t>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p>
    <w:p w:rsidR="007E2F76" w:rsidRPr="006635CB" w:rsidRDefault="007E2F76" w:rsidP="007E2F76">
      <w:pPr>
        <w:jc w:val="both"/>
        <w:rPr>
          <w:rFonts w:ascii="Cambria" w:hAnsi="Cambria"/>
          <w:b/>
          <w:sz w:val="24"/>
          <w:szCs w:val="24"/>
        </w:rPr>
      </w:pP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proofErr w:type="gramStart"/>
      <w:r w:rsidR="006635CB" w:rsidRPr="006635CB">
        <w:rPr>
          <w:rFonts w:ascii="Cambria" w:hAnsi="Cambria"/>
          <w:b/>
          <w:sz w:val="24"/>
          <w:szCs w:val="24"/>
        </w:rPr>
        <w:t>Şikayetçi</w:t>
      </w:r>
      <w:proofErr w:type="gramEnd"/>
      <w:r w:rsidRPr="006635CB">
        <w:rPr>
          <w:rFonts w:ascii="Cambria" w:hAnsi="Cambria"/>
          <w:b/>
          <w:sz w:val="24"/>
          <w:szCs w:val="24"/>
        </w:rPr>
        <w:tab/>
      </w:r>
      <w:r w:rsidRPr="006635CB">
        <w:rPr>
          <w:rFonts w:ascii="Cambria" w:hAnsi="Cambria"/>
          <w:b/>
          <w:sz w:val="24"/>
          <w:szCs w:val="24"/>
        </w:rPr>
        <w:tab/>
      </w:r>
      <w:r w:rsidRPr="006635CB">
        <w:rPr>
          <w:rFonts w:ascii="Cambria" w:hAnsi="Cambria"/>
          <w:b/>
          <w:sz w:val="24"/>
          <w:szCs w:val="24"/>
        </w:rPr>
        <w:tab/>
      </w:r>
      <w:r w:rsidRPr="006635CB">
        <w:rPr>
          <w:rFonts w:ascii="Cambria" w:hAnsi="Cambria"/>
          <w:b/>
          <w:sz w:val="24"/>
          <w:szCs w:val="24"/>
        </w:rPr>
        <w:tab/>
      </w:r>
      <w:r w:rsidRPr="006635CB">
        <w:rPr>
          <w:rFonts w:ascii="Cambria" w:hAnsi="Cambria"/>
          <w:b/>
          <w:sz w:val="24"/>
          <w:szCs w:val="24"/>
        </w:rPr>
        <w:tab/>
        <w:t xml:space="preserve">         </w:t>
      </w:r>
    </w:p>
    <w:p w:rsidR="007E2F76" w:rsidRDefault="007E2F76" w:rsidP="007E2F76">
      <w:pPr>
        <w:jc w:val="both"/>
        <w:rPr>
          <w:rFonts w:ascii="Cambria" w:hAnsi="Cambria"/>
          <w:sz w:val="24"/>
          <w:szCs w:val="24"/>
        </w:rPr>
      </w:pPr>
    </w:p>
    <w:p w:rsidR="004671DA" w:rsidRDefault="004671DA">
      <w:bookmarkStart w:id="0" w:name="_GoBack"/>
      <w:bookmarkEnd w:id="0"/>
    </w:p>
    <w:sectPr w:rsidR="004671D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2F76"/>
    <w:rsid w:val="004671DA"/>
    <w:rsid w:val="006635CB"/>
    <w:rsid w:val="007E2F76"/>
    <w:rsid w:val="00AD343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9E8848"/>
  <w15:docId w15:val="{BE362AFD-9156-4A66-859D-546AC9ED2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2F76"/>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7698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4</Pages>
  <Words>1406</Words>
  <Characters>8020</Characters>
  <Application>Microsoft Office Word</Application>
  <DocSecurity>0</DocSecurity>
  <Lines>66</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pc</cp:lastModifiedBy>
  <cp:revision>2</cp:revision>
  <dcterms:created xsi:type="dcterms:W3CDTF">2021-02-22T05:42:00Z</dcterms:created>
  <dcterms:modified xsi:type="dcterms:W3CDTF">2021-02-22T09:21:00Z</dcterms:modified>
</cp:coreProperties>
</file>